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19" w:rsidRDefault="00E63919" w:rsidP="00E63919">
      <w:pPr>
        <w:pStyle w:val="ConsPlusTitle"/>
        <w:jc w:val="center"/>
        <w:outlineLvl w:val="1"/>
      </w:pPr>
      <w:r>
        <w:t>Критерии доступности и качества медицинской помощи</w:t>
      </w:r>
    </w:p>
    <w:p w:rsidR="00E63919" w:rsidRDefault="00E63919" w:rsidP="00E63919">
      <w:pPr>
        <w:pStyle w:val="ConsPlusNormal"/>
        <w:ind w:firstLine="540"/>
        <w:jc w:val="both"/>
      </w:pPr>
    </w:p>
    <w:p w:rsidR="00E63919" w:rsidRDefault="00E63919" w:rsidP="00E63919">
      <w:pPr>
        <w:pStyle w:val="ConsPlusNormal"/>
        <w:ind w:firstLine="540"/>
        <w:jc w:val="both"/>
      </w:pPr>
      <w:r>
        <w:t>Критериями доступности медицинской помощи являются: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удовлетворенность населения доступностью медицинской помощи, в том числе городского и сельского населения (процентов числа опрошенных);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расходов на оказание медицинской помощи в условиях дневных стационаров в общих расходах на территориальную программу государственных гарантий;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расходов на оказан</w:t>
      </w:r>
      <w:bookmarkStart w:id="0" w:name="_GoBack"/>
      <w:bookmarkEnd w:id="0"/>
      <w:r>
        <w:t>ие медицинской помощи в амбулаторных условиях в неотложной форме в общих расходах на территориальную программу государственных гарантий;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пациентов, получивших специализированную медицинскую помощь в стационарных условиях в федеральных медицинских организациях,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пациентов, страдающих хроническими неинфекционными заболеваниями, взятых под диспансерное наблюдение, в общем количестве пациентов, страдающих хроническими неинфекционными заболеваниями;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пациентов, находящихся в стационарных организациях социального обслуживания и страдающих хроническими неинфекционными заболеваниями, получивших медицинскую помощь в рамках диспансерного наблюдения;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граждан, обеспеченных лекарственными препаратами, в общем количестве льготных категорий граждан.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Критериями качества медицинской помощи являются: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lastRenderedPageBreak/>
        <w:t>доля впервые выявленных онкологических заболеваний при профилактических медицинских осмотрах, в том числе в рамках диспансеризации, от общего количества лиц, прошедших указанные осмотры;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проведено </w:t>
      </w:r>
      <w:proofErr w:type="spellStart"/>
      <w:r>
        <w:t>стентирование</w:t>
      </w:r>
      <w:proofErr w:type="spellEnd"/>
      <w:r>
        <w:t xml:space="preserve"> коронарных артерий, в общем количестве пациентов с острым инфарктом миокарда, имеющих показания к его проведению;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пациентов с острым и повторным инфарктом миокарда, которым выездной бригадой скорой медицинской помощи проведен </w:t>
      </w:r>
      <w:proofErr w:type="spellStart"/>
      <w:r>
        <w:t>тромболизис</w:t>
      </w:r>
      <w:proofErr w:type="spellEnd"/>
      <w:r>
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пациентов с острым инфарктом миокарда,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инфарктом миокарда, имеющих показания к ее проведению;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пациентов с острым ишемическим инсультом, которым проведена </w:t>
      </w:r>
      <w:proofErr w:type="spellStart"/>
      <w:r>
        <w:t>тромболитическая</w:t>
      </w:r>
      <w:proofErr w:type="spellEnd"/>
      <w:r>
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"бронхиальная астма" на 100 тыс. населения в год;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количество случаев госпитализации с диагнозом "хроническая </w:t>
      </w:r>
      <w:proofErr w:type="spellStart"/>
      <w:r>
        <w:t>обструктивная</w:t>
      </w:r>
      <w:proofErr w:type="spellEnd"/>
      <w:r>
        <w:t xml:space="preserve"> болезнь легких" на 100 тыс. населения;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"хроническая сердечная недостаточность" на 100 тыс. населения в год;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количество случаев госпитализации с диагнозом "гипертоническая болезнь" на 100 тыс. населения в год;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lastRenderedPageBreak/>
        <w:t>количество случаев госпитализации с диагнозом "сахарный диабет" на 100 тыс. населения в год;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количество пациентов с гепатитом C, получивших противовирусную терапию, на 100 тыс. населения в год;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пациентов, прооперированных в течение 2 дней после поступления в стационар по поводу перелома шейки бедра, от всех прооперированных по поводу указанного диагноза.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Территориальной программой государственных гарантий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Целевые значения критериев доступности и качества медицинской помощи на соответствующий год не могут отличаться от значений показателей и (или) результатов, установленных в региональных проектах национальных проектов </w:t>
      </w:r>
      <w:hyperlink r:id="rId4">
        <w:r>
          <w:rPr>
            <w:color w:val="0000FF"/>
          </w:rPr>
          <w:t>"Здравоохранение"</w:t>
        </w:r>
      </w:hyperlink>
      <w:r>
        <w:t xml:space="preserve"> и </w:t>
      </w:r>
      <w:hyperlink r:id="rId5">
        <w:r>
          <w:rPr>
            <w:color w:val="0000FF"/>
          </w:rPr>
          <w:t>"Демография"</w:t>
        </w:r>
      </w:hyperlink>
      <w:r>
        <w:t>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Оценка достижения критериев доступности и качества медицинской помощи осуществляется субъектами Российской Федерации 1 раз в полгода с направлением соответствующих данных в Министерство здравоохранения Российской Федерации.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Кроме того, субъектами Российской Федерации проводится оценка эффективности деятельности медицинских организаций, в том числе расположенных в городской и сельской местности (на основе выполнения функции врачебной должности, показателей использования коечного фонда).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Критериями доступности медицинской помощи, оказываемой федеральными медицинскими организациями, являются: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 xml:space="preserve">доля объема специализированной, в том числе высокотехнологичной, медицинской помощи с коэффициентом относительной </w:t>
      </w:r>
      <w:proofErr w:type="spellStart"/>
      <w:r>
        <w:t>затратоемкости</w:t>
      </w:r>
      <w:proofErr w:type="spellEnd"/>
      <w:r>
        <w:t>, равным 2 и более, в объеме оказанной специализированной, в том числе высокотехнологичной, медицинской помощи (в 2023 году - не менее 60 процентов, в 2024 и 2025 годах - не менее 70 процентов);</w:t>
      </w:r>
    </w:p>
    <w:p w:rsidR="00E63919" w:rsidRDefault="00E63919" w:rsidP="00E63919">
      <w:pPr>
        <w:pStyle w:val="ConsPlusNormal"/>
        <w:spacing w:before="220"/>
        <w:ind w:firstLine="540"/>
        <w:jc w:val="both"/>
      </w:pPr>
      <w:r>
        <w:t>доля доходов за счет средств обязательного медицинского страхования в общем объеме доходов федеральной медицинской организации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страхования, - не менее 20 процентов).</w:t>
      </w:r>
    </w:p>
    <w:p w:rsidR="00E63919" w:rsidRDefault="00E63919" w:rsidP="00E63919">
      <w:pPr>
        <w:pStyle w:val="ConsPlusNormal"/>
        <w:ind w:firstLine="540"/>
        <w:jc w:val="both"/>
      </w:pPr>
    </w:p>
    <w:p w:rsidR="00E63919" w:rsidRDefault="00E63919" w:rsidP="00E63919">
      <w:pPr>
        <w:pStyle w:val="ConsPlusNormal"/>
        <w:ind w:firstLine="540"/>
        <w:jc w:val="both"/>
      </w:pPr>
    </w:p>
    <w:p w:rsidR="00E63919" w:rsidRDefault="00E63919" w:rsidP="00E63919">
      <w:pPr>
        <w:pStyle w:val="ConsPlusNormal"/>
        <w:jc w:val="both"/>
        <w:outlineLvl w:val="0"/>
      </w:pPr>
    </w:p>
    <w:p w:rsidR="00E63919" w:rsidRDefault="00E63919" w:rsidP="00E63919">
      <w:pPr>
        <w:pStyle w:val="ConsPlusTitle"/>
      </w:pPr>
    </w:p>
    <w:p w:rsidR="00E63919" w:rsidRDefault="00E63919" w:rsidP="00E63919">
      <w:pPr>
        <w:pStyle w:val="ConsPlusTitle"/>
        <w:outlineLvl w:val="0"/>
      </w:pPr>
      <w:r>
        <w:t>ПОСТАНОВЛЕНИЕ</w:t>
      </w:r>
      <w:r w:rsidRPr="00E63919">
        <w:t xml:space="preserve"> </w:t>
      </w:r>
      <w:r>
        <w:t>П</w:t>
      </w:r>
      <w:r w:rsidR="00870080">
        <w:t>равительства</w:t>
      </w:r>
      <w:r>
        <w:t xml:space="preserve"> </w:t>
      </w:r>
      <w:r w:rsidR="00870080">
        <w:t>РФ</w:t>
      </w:r>
      <w:r>
        <w:t xml:space="preserve"> от 29 декабря 2022 г. N 2497 </w:t>
      </w:r>
    </w:p>
    <w:p w:rsidR="00E63919" w:rsidRDefault="00E63919" w:rsidP="00E63919">
      <w:pPr>
        <w:pStyle w:val="ConsPlusTitle"/>
        <w:outlineLvl w:val="0"/>
      </w:pPr>
      <w:r>
        <w:t>«О Программе государственных гарантий бесплатного оказания гражданам медицинской помощи на 2023 год и на плановый период</w:t>
      </w:r>
    </w:p>
    <w:p w:rsidR="00E63919" w:rsidRDefault="00E63919" w:rsidP="00E63919">
      <w:pPr>
        <w:pStyle w:val="ConsPlusTitle"/>
      </w:pPr>
      <w:r>
        <w:t>2024 и 2025 годов»</w:t>
      </w:r>
    </w:p>
    <w:p w:rsidR="00B0514E" w:rsidRDefault="00B0514E" w:rsidP="00E63919"/>
    <w:sectPr w:rsidR="00B05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90D"/>
    <w:rsid w:val="00196E23"/>
    <w:rsid w:val="005B690D"/>
    <w:rsid w:val="00870080"/>
    <w:rsid w:val="00B0514E"/>
    <w:rsid w:val="00E6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F40B-518B-48DF-B33C-225F6D19A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3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6391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1A92759D77D0FB1301CFFADEBA8BC237CA7086512DB63835DE09D6D04E0839475F193CA1DCBBD56765EB24F6vCw8G" TargetMode="External"/><Relationship Id="rId4" Type="http://schemas.openxmlformats.org/officeDocument/2006/relationships/hyperlink" Target="consultantplus://offline/ref=5C1A92759D77D0FB1301D1E1DBBA8BC237C37D8C5423B63835DE09D6D04E0839475F193CA1DCBBD56765EB24F6vCw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1213</Words>
  <Characters>6916</Characters>
  <Application>Microsoft Office Word</Application>
  <DocSecurity>0</DocSecurity>
  <Lines>57</Lines>
  <Paragraphs>16</Paragraphs>
  <ScaleCrop>false</ScaleCrop>
  <Company/>
  <LinksUpToDate>false</LinksUpToDate>
  <CharactersWithSpaces>8113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Котова Анна Николаевна</dc:creator>
  <cp:keywords/>
  <dc:description/>
  <cp:lastModifiedBy>Котова Анна Николаевна</cp:lastModifiedBy>
  <cp:revision>4</cp:revision>
  <dcterms:created xsi:type="dcterms:W3CDTF">2023-01-13T09:16:00Z</dcterms:created>
  <dcterms:modified xsi:type="dcterms:W3CDTF">2023-01-13T09:26:00Z</dcterms:modified>
</cp:coreProperties>
</file>